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004E" w14:textId="77777777" w:rsidR="001F1158" w:rsidRDefault="001F1158" w:rsidP="001F115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800000"/>
          <w:sz w:val="40"/>
          <w:szCs w:val="40"/>
        </w:rPr>
        <w:t>Members Obtain Free CE Credits from JCP Articles!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F4F7D77" wp14:editId="078D21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61975"/>
            <wp:effectExtent l="0" t="0" r="0" b="9525"/>
            <wp:wrapSquare wrapText="bothSides"/>
            <wp:docPr id="3" name="Picture 3" descr="https://origin.ih.constantcontact.com/fs166/1104628606996/img/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gin.ih.constantcontact.com/fs166/1104628606996/img/24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7AA52" w14:textId="77777777" w:rsidR="001F1158" w:rsidRDefault="001F1158" w:rsidP="001F1158">
      <w:pPr>
        <w:rPr>
          <w:rFonts w:ascii="Arial" w:hAnsi="Arial" w:cs="Arial"/>
          <w:color w:val="000000"/>
          <w:sz w:val="20"/>
          <w:szCs w:val="20"/>
        </w:rPr>
      </w:pPr>
    </w:p>
    <w:p w14:paraId="174E9658" w14:textId="308536DD" w:rsidR="00BC2471" w:rsidRDefault="00760D92" w:rsidP="00BC247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Pharmacokinetic Drug Interactions of </w:t>
      </w:r>
      <w:proofErr w:type="spellStart"/>
      <w:r>
        <w:rPr>
          <w:rFonts w:ascii="Arial" w:hAnsi="Arial" w:cs="Arial"/>
          <w:b/>
        </w:rPr>
        <w:t>Apatinib</w:t>
      </w:r>
      <w:proofErr w:type="spellEnd"/>
      <w:r>
        <w:rPr>
          <w:rFonts w:ascii="Arial" w:hAnsi="Arial" w:cs="Arial"/>
          <w:b/>
        </w:rPr>
        <w:t xml:space="preserve"> With Rifampin and Itraconazole</w:t>
      </w:r>
    </w:p>
    <w:p w14:paraId="7CFF920A" w14:textId="3AC4A93D" w:rsidR="00D22349" w:rsidRDefault="00E24824" w:rsidP="00EA4D49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2018</w:t>
      </w:r>
      <w:r w:rsidR="00440E9C" w:rsidRPr="00087C3E">
        <w:rPr>
          <w:rFonts w:ascii="Arial" w:hAnsi="Arial" w:cs="Arial"/>
          <w:sz w:val="20"/>
          <w:szCs w:val="20"/>
        </w:rPr>
        <w:t xml:space="preserve"> </w:t>
      </w:r>
      <w:r w:rsidR="00440E9C">
        <w:rPr>
          <w:rFonts w:ascii="Arial" w:hAnsi="Arial" w:cs="Arial"/>
          <w:sz w:val="20"/>
          <w:szCs w:val="20"/>
        </w:rPr>
        <w:t>–</w:t>
      </w:r>
      <w:r w:rsidR="00440E9C" w:rsidRPr="00087C3E">
        <w:rPr>
          <w:rFonts w:ascii="Arial" w:hAnsi="Arial" w:cs="Arial"/>
          <w:sz w:val="20"/>
          <w:szCs w:val="20"/>
        </w:rPr>
        <w:t xml:space="preserve"> </w:t>
      </w:r>
      <w:r w:rsidR="00440E9C" w:rsidRPr="00440E9C">
        <w:rPr>
          <w:rFonts w:ascii="Arial" w:hAnsi="Arial" w:cs="Arial"/>
          <w:i/>
          <w:sz w:val="20"/>
          <w:szCs w:val="20"/>
        </w:rPr>
        <w:t>The Journal of Clinical Pharmacology</w:t>
      </w:r>
    </w:p>
    <w:p w14:paraId="14AFB009" w14:textId="77777777" w:rsidR="00B06F25" w:rsidRDefault="00B06F25" w:rsidP="00EA4D49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F06B8DF" w14:textId="72006059" w:rsidR="00BC1FCA" w:rsidRPr="001F1158" w:rsidRDefault="00BC1FCA" w:rsidP="00EA4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F1158">
        <w:rPr>
          <w:rFonts w:ascii="Arial" w:eastAsia="Times New Roman" w:hAnsi="Arial" w:cs="Arial"/>
          <w:b/>
          <w:i/>
          <w:iCs/>
          <w:sz w:val="20"/>
          <w:szCs w:val="20"/>
        </w:rPr>
        <w:t>Why is this article important to you? </w:t>
      </w:r>
    </w:p>
    <w:p w14:paraId="34616CC5" w14:textId="454A9EFA" w:rsidR="00440E9C" w:rsidRDefault="00760D92" w:rsidP="000A0087">
      <w:pPr>
        <w:spacing w:after="0" w:line="240" w:lineRule="auto"/>
      </w:pPr>
      <w:r>
        <w:t xml:space="preserve">Small-molecule pharmacotherapeutic agents represent an emerging category with important utility in disease-state management, including applications in the field of oncology. Safe and efficacious use of these agents requires an understanding of drug interaction potential, and a recognition of pharmacodynamic and pharmacokinetic implications. This activity provides insight relative to the effects of induction and inhibition on the pharmacokinetic profile of </w:t>
      </w:r>
      <w:proofErr w:type="spellStart"/>
      <w:r>
        <w:t>apatinib</w:t>
      </w:r>
      <w:proofErr w:type="spellEnd"/>
      <w:r>
        <w:t>. Such information will further inform the approach to the oncology patient, deemed a candidate for small-molecule therapy.</w:t>
      </w:r>
    </w:p>
    <w:p w14:paraId="5AC1A75B" w14:textId="55CE182D" w:rsidR="00760D92" w:rsidRDefault="00760D92" w:rsidP="000A0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D0D170" w14:textId="173E8912" w:rsidR="00E24824" w:rsidRDefault="00E24824" w:rsidP="000A0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1E4C2" w14:textId="0498D259" w:rsidR="00E24824" w:rsidRPr="00154B12" w:rsidRDefault="00760D92" w:rsidP="000A0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993D10" wp14:editId="386FB9D5">
            <wp:simplePos x="0" y="0"/>
            <wp:positionH relativeFrom="margin">
              <wp:posOffset>-99060</wp:posOffset>
            </wp:positionH>
            <wp:positionV relativeFrom="margin">
              <wp:posOffset>3164205</wp:posOffset>
            </wp:positionV>
            <wp:extent cx="80454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E Log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DFA48" w14:textId="485F2199" w:rsidR="006305AD" w:rsidRPr="006C3E16" w:rsidRDefault="001D1D77" w:rsidP="002B76A7">
      <w:pPr>
        <w:spacing w:after="0" w:line="240" w:lineRule="auto"/>
        <w:ind w:left="1530"/>
        <w:rPr>
          <w:rFonts w:ascii="Arial" w:hAnsi="Arial" w:cs="Arial"/>
          <w:b/>
          <w:sz w:val="20"/>
          <w:szCs w:val="20"/>
        </w:rPr>
      </w:pPr>
      <w:r w:rsidRPr="006C3E16">
        <w:rPr>
          <w:rFonts w:ascii="Arial" w:hAnsi="Arial" w:cs="Arial"/>
          <w:b/>
          <w:sz w:val="20"/>
          <w:szCs w:val="20"/>
        </w:rPr>
        <w:t xml:space="preserve">ACPE Accreditation </w:t>
      </w:r>
      <w:r w:rsidR="006305AD" w:rsidRPr="006C3E16">
        <w:rPr>
          <w:rFonts w:ascii="Arial" w:hAnsi="Arial" w:cs="Arial"/>
          <w:b/>
          <w:sz w:val="20"/>
          <w:szCs w:val="20"/>
        </w:rPr>
        <w:t>Statement</w:t>
      </w:r>
    </w:p>
    <w:p w14:paraId="18D74106" w14:textId="03789B69" w:rsidR="006305AD" w:rsidRDefault="006305AD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6C3E16">
        <w:rPr>
          <w:rFonts w:ascii="Arial" w:hAnsi="Arial" w:cs="Arial"/>
          <w:sz w:val="20"/>
          <w:szCs w:val="20"/>
        </w:rPr>
        <w:t>The American College of Clinical Pharmacology is accredited by the Accreditation Council for Pharmacy Education (ACPE) as a provider of continuing pharmacy education.</w:t>
      </w:r>
    </w:p>
    <w:p w14:paraId="6F35C30C" w14:textId="2CBA3BE3" w:rsidR="002B76A7" w:rsidRDefault="002B76A7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1F1158">
        <w:rPr>
          <w:rFonts w:ascii="Arial" w:hAnsi="Arial" w:cs="Arial"/>
          <w:b/>
          <w:sz w:val="20"/>
          <w:szCs w:val="20"/>
        </w:rPr>
        <w:t>UAN: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24824" w:rsidRPr="00E24824">
        <w:rPr>
          <w:rFonts w:ascii="Arial" w:hAnsi="Arial" w:cs="Arial"/>
          <w:color w:val="000000"/>
          <w:sz w:val="20"/>
          <w:szCs w:val="20"/>
        </w:rPr>
        <w:t>0238-0000-18-005-H01-P</w:t>
      </w:r>
      <w:r w:rsidRPr="006C3E16">
        <w:rPr>
          <w:rFonts w:ascii="Arial" w:hAnsi="Arial" w:cs="Arial"/>
          <w:sz w:val="20"/>
          <w:szCs w:val="20"/>
        </w:rPr>
        <w:t xml:space="preserve"> – ACPE 1 Contact Hours</w:t>
      </w:r>
    </w:p>
    <w:p w14:paraId="0AE54808" w14:textId="45A1D76F" w:rsidR="002B76A7" w:rsidRDefault="002B76A7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7F2BFD">
        <w:rPr>
          <w:rFonts w:ascii="Arial" w:hAnsi="Arial" w:cs="Arial"/>
          <w:b/>
          <w:sz w:val="20"/>
          <w:szCs w:val="20"/>
        </w:rPr>
        <w:t>Activity Type:</w:t>
      </w:r>
      <w:r>
        <w:rPr>
          <w:rFonts w:ascii="Arial" w:hAnsi="Arial" w:cs="Arial"/>
          <w:sz w:val="20"/>
          <w:szCs w:val="20"/>
        </w:rPr>
        <w:t xml:space="preserve">  </w:t>
      </w:r>
      <w:r w:rsidRPr="006C3E16">
        <w:rPr>
          <w:rFonts w:ascii="Arial" w:hAnsi="Arial" w:cs="Arial"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>-ba</w:t>
      </w:r>
      <w:r w:rsidRPr="006C3E16"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z w:val="20"/>
          <w:szCs w:val="20"/>
        </w:rPr>
        <w:t xml:space="preserve">   </w:t>
      </w:r>
      <w:r w:rsidRPr="00B04E62">
        <w:rPr>
          <w:rFonts w:ascii="Arial" w:hAnsi="Arial" w:cs="Arial"/>
          <w:b/>
          <w:sz w:val="20"/>
          <w:szCs w:val="20"/>
        </w:rPr>
        <w:t>Format:</w:t>
      </w:r>
      <w:r>
        <w:rPr>
          <w:rFonts w:ascii="Arial" w:hAnsi="Arial" w:cs="Arial"/>
          <w:sz w:val="20"/>
          <w:szCs w:val="20"/>
        </w:rPr>
        <w:t xml:space="preserve">  Home-study   </w:t>
      </w:r>
      <w:r w:rsidR="00952CD6" w:rsidRPr="00952CD6">
        <w:rPr>
          <w:rFonts w:ascii="Arial" w:hAnsi="Arial" w:cs="Arial"/>
          <w:b/>
          <w:sz w:val="20"/>
          <w:szCs w:val="20"/>
        </w:rPr>
        <w:t xml:space="preserve">Target </w:t>
      </w:r>
      <w:r w:rsidRPr="002B76A7">
        <w:rPr>
          <w:rFonts w:ascii="Arial" w:hAnsi="Arial" w:cs="Arial"/>
          <w:b/>
          <w:sz w:val="20"/>
          <w:szCs w:val="20"/>
        </w:rPr>
        <w:t>Audience</w:t>
      </w:r>
      <w:r>
        <w:rPr>
          <w:rFonts w:ascii="Arial" w:hAnsi="Arial" w:cs="Arial"/>
          <w:sz w:val="20"/>
          <w:szCs w:val="20"/>
        </w:rPr>
        <w:t>: ‘P’</w:t>
      </w:r>
    </w:p>
    <w:p w14:paraId="09D30A4A" w14:textId="1D967E0E" w:rsidR="002B76A7" w:rsidRPr="006C3E16" w:rsidRDefault="002B76A7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14:paraId="14E644BF" w14:textId="66C884E0" w:rsidR="006305AD" w:rsidRPr="006C3E16" w:rsidRDefault="00895655" w:rsidP="002B76A7">
      <w:pPr>
        <w:spacing w:after="0" w:line="240" w:lineRule="auto"/>
        <w:ind w:left="1530"/>
        <w:rPr>
          <w:rFonts w:ascii="Arial" w:hAnsi="Arial" w:cs="Arial"/>
          <w:b/>
          <w:sz w:val="20"/>
          <w:szCs w:val="20"/>
        </w:rPr>
      </w:pPr>
      <w:r w:rsidRPr="006C3E16">
        <w:rPr>
          <w:rFonts w:ascii="Arial" w:hAnsi="Arial" w:cs="Arial"/>
          <w:b/>
          <w:sz w:val="20"/>
          <w:szCs w:val="20"/>
        </w:rPr>
        <w:t xml:space="preserve">ACCME Accreditation </w:t>
      </w:r>
      <w:r w:rsidR="006305AD" w:rsidRPr="006C3E16">
        <w:rPr>
          <w:rFonts w:ascii="Arial" w:hAnsi="Arial" w:cs="Arial"/>
          <w:b/>
          <w:sz w:val="20"/>
          <w:szCs w:val="20"/>
        </w:rPr>
        <w:t>Statement</w:t>
      </w:r>
    </w:p>
    <w:p w14:paraId="60E81B64" w14:textId="316E908A" w:rsidR="006305AD" w:rsidRPr="006C3E16" w:rsidRDefault="00760D92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74B6B00" wp14:editId="15F93AC6">
            <wp:simplePos x="0" y="0"/>
            <wp:positionH relativeFrom="margin">
              <wp:posOffset>-152400</wp:posOffset>
            </wp:positionH>
            <wp:positionV relativeFrom="margin">
              <wp:posOffset>4389120</wp:posOffset>
            </wp:positionV>
            <wp:extent cx="914400" cy="581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ME Logo 30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AD" w:rsidRPr="006C3E16">
        <w:rPr>
          <w:rFonts w:ascii="Arial" w:hAnsi="Arial" w:cs="Arial"/>
          <w:sz w:val="20"/>
          <w:szCs w:val="20"/>
        </w:rPr>
        <w:t>The American College of Clinical Pharmacology is accredited by the Accreditation Council for Continuing Medical Education</w:t>
      </w:r>
      <w:r w:rsidR="00895655" w:rsidRPr="006C3E16">
        <w:rPr>
          <w:rFonts w:ascii="Arial" w:hAnsi="Arial" w:cs="Arial"/>
          <w:sz w:val="20"/>
          <w:szCs w:val="20"/>
        </w:rPr>
        <w:t xml:space="preserve"> (ACCME) to provide continuing medical education for physicians</w:t>
      </w:r>
      <w:r w:rsidR="006305AD" w:rsidRPr="006C3E16">
        <w:rPr>
          <w:rFonts w:ascii="Arial" w:hAnsi="Arial" w:cs="Arial"/>
          <w:sz w:val="20"/>
          <w:szCs w:val="20"/>
        </w:rPr>
        <w:t xml:space="preserve">.  </w:t>
      </w:r>
    </w:p>
    <w:p w14:paraId="632B6512" w14:textId="77777777" w:rsidR="002B76A7" w:rsidRDefault="002B76A7" w:rsidP="002B76A7">
      <w:pPr>
        <w:spacing w:after="0" w:line="240" w:lineRule="auto"/>
        <w:ind w:left="1530"/>
        <w:rPr>
          <w:rFonts w:ascii="Arial" w:hAnsi="Arial" w:cs="Arial"/>
          <w:b/>
          <w:sz w:val="20"/>
          <w:szCs w:val="20"/>
        </w:rPr>
      </w:pPr>
    </w:p>
    <w:p w14:paraId="436FBA86" w14:textId="31A6B2F0" w:rsidR="006305AD" w:rsidRPr="006C3E16" w:rsidRDefault="00B04E62" w:rsidP="002B76A7">
      <w:pPr>
        <w:spacing w:after="0" w:line="240" w:lineRule="auto"/>
        <w:ind w:left="15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ACCME </w:t>
      </w:r>
      <w:r w:rsidR="006305AD" w:rsidRPr="006C3E16">
        <w:rPr>
          <w:rFonts w:ascii="Arial" w:hAnsi="Arial" w:cs="Arial"/>
          <w:b/>
          <w:sz w:val="20"/>
          <w:szCs w:val="20"/>
        </w:rPr>
        <w:t>Designation Statement</w:t>
      </w:r>
    </w:p>
    <w:p w14:paraId="30536F70" w14:textId="7252EA8C" w:rsidR="006305AD" w:rsidRPr="006C3E16" w:rsidRDefault="006305AD" w:rsidP="002B76A7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 w:rsidRPr="006C3E16">
        <w:rPr>
          <w:rFonts w:ascii="Arial" w:hAnsi="Arial" w:cs="Arial"/>
          <w:sz w:val="20"/>
          <w:szCs w:val="20"/>
        </w:rPr>
        <w:t>The A</w:t>
      </w:r>
      <w:r w:rsidR="0071079D">
        <w:rPr>
          <w:rFonts w:ascii="Arial" w:hAnsi="Arial" w:cs="Arial"/>
          <w:sz w:val="20"/>
          <w:szCs w:val="20"/>
        </w:rPr>
        <w:t>ccreditation Council for Continuing Medical Education</w:t>
      </w:r>
      <w:r w:rsidRPr="006C3E16">
        <w:rPr>
          <w:rFonts w:ascii="Arial" w:hAnsi="Arial" w:cs="Arial"/>
          <w:sz w:val="20"/>
          <w:szCs w:val="20"/>
        </w:rPr>
        <w:t xml:space="preserve"> designates this journal CE activity for 1 </w:t>
      </w:r>
      <w:r w:rsidRPr="006C3E16">
        <w:rPr>
          <w:rFonts w:ascii="Arial" w:hAnsi="Arial" w:cs="Arial"/>
          <w:i/>
          <w:sz w:val="20"/>
          <w:szCs w:val="20"/>
        </w:rPr>
        <w:t>AMA PRA Category 1</w:t>
      </w:r>
      <w:r w:rsidRPr="006C3E16">
        <w:rPr>
          <w:rFonts w:ascii="Arial" w:hAnsi="Arial" w:cs="Arial"/>
          <w:i/>
          <w:sz w:val="20"/>
          <w:szCs w:val="20"/>
          <w:vertAlign w:val="superscript"/>
        </w:rPr>
        <w:t>TM</w:t>
      </w:r>
      <w:r w:rsidRPr="006C3E16">
        <w:rPr>
          <w:rFonts w:ascii="Arial" w:hAnsi="Arial" w:cs="Arial"/>
          <w:sz w:val="20"/>
          <w:szCs w:val="20"/>
        </w:rPr>
        <w:t xml:space="preserve"> credit. Physicians should only claim credit commensurate with the extent of the</w:t>
      </w:r>
      <w:r w:rsidR="0071079D">
        <w:rPr>
          <w:rFonts w:ascii="Arial" w:hAnsi="Arial" w:cs="Arial"/>
          <w:sz w:val="20"/>
          <w:szCs w:val="20"/>
        </w:rPr>
        <w:t>ir</w:t>
      </w:r>
      <w:r w:rsidRPr="006C3E16">
        <w:rPr>
          <w:rFonts w:ascii="Arial" w:hAnsi="Arial" w:cs="Arial"/>
          <w:sz w:val="20"/>
          <w:szCs w:val="20"/>
        </w:rPr>
        <w:t xml:space="preserve"> participation in the activity.</w:t>
      </w:r>
    </w:p>
    <w:p w14:paraId="7BEAB3C6" w14:textId="43728D30" w:rsidR="00EA4D49" w:rsidRDefault="00EA4D49" w:rsidP="00EA4D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E06DC" w14:textId="7EA20D38" w:rsidR="002B52B5" w:rsidRDefault="00CB54FB" w:rsidP="002D1E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E16">
        <w:rPr>
          <w:rFonts w:ascii="Arial" w:hAnsi="Arial" w:cs="Arial"/>
          <w:b/>
          <w:sz w:val="20"/>
          <w:szCs w:val="20"/>
        </w:rPr>
        <w:t xml:space="preserve">Disclosures:  </w:t>
      </w:r>
    </w:p>
    <w:p w14:paraId="235F0622" w14:textId="77777777" w:rsidR="00BF4D59" w:rsidRDefault="00BF4D59" w:rsidP="00BF4D59">
      <w:pPr>
        <w:tabs>
          <w:tab w:val="right" w:pos="1440"/>
          <w:tab w:val="left" w:pos="1710"/>
        </w:tabs>
        <w:spacing w:after="0" w:line="240" w:lineRule="auto"/>
        <w:ind w:left="1710" w:hanging="1710"/>
        <w:rPr>
          <w:rFonts w:ascii="Arial" w:eastAsia="Calibri" w:hAnsi="Arial" w:cs="Arial"/>
          <w:sz w:val="20"/>
          <w:szCs w:val="20"/>
        </w:rPr>
      </w:pPr>
      <w:r w:rsidRPr="007E56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Article Selection</w:t>
      </w:r>
      <w:r w:rsidRPr="00B941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Joseph </w:t>
      </w:r>
      <w:proofErr w:type="spellStart"/>
      <w:r>
        <w:rPr>
          <w:rFonts w:ascii="Arial" w:hAnsi="Arial" w:cs="Arial"/>
          <w:sz w:val="20"/>
          <w:szCs w:val="20"/>
        </w:rPr>
        <w:t>Bertino</w:t>
      </w:r>
      <w:proofErr w:type="spellEnd"/>
      <w:r>
        <w:rPr>
          <w:rFonts w:ascii="Arial" w:hAnsi="Arial" w:cs="Arial"/>
          <w:sz w:val="20"/>
          <w:szCs w:val="20"/>
        </w:rPr>
        <w:t xml:space="preserve">, PharmD, Editor-in-Chief, JCP; Owner, </w:t>
      </w:r>
      <w:proofErr w:type="spellStart"/>
      <w:r>
        <w:rPr>
          <w:rFonts w:ascii="Arial" w:hAnsi="Arial" w:cs="Arial"/>
          <w:sz w:val="20"/>
          <w:szCs w:val="20"/>
        </w:rPr>
        <w:t>Bertino</w:t>
      </w:r>
      <w:proofErr w:type="spellEnd"/>
      <w:r>
        <w:rPr>
          <w:rFonts w:ascii="Arial" w:hAnsi="Arial" w:cs="Arial"/>
          <w:sz w:val="20"/>
          <w:szCs w:val="20"/>
        </w:rPr>
        <w:t xml:space="preserve"> Consulting,</w:t>
      </w:r>
      <w:r w:rsidRPr="00B94118">
        <w:rPr>
          <w:rFonts w:ascii="Arial" w:hAnsi="Arial" w:cs="Arial"/>
          <w:sz w:val="20"/>
          <w:szCs w:val="20"/>
        </w:rPr>
        <w:t xml:space="preserve"> </w:t>
      </w:r>
      <w:r w:rsidRPr="00B94118">
        <w:rPr>
          <w:rFonts w:ascii="Arial" w:eastAsia="Calibri" w:hAnsi="Arial" w:cs="Arial"/>
          <w:sz w:val="20"/>
          <w:szCs w:val="20"/>
        </w:rPr>
        <w:t>has nothing to disclose.</w:t>
      </w:r>
    </w:p>
    <w:p w14:paraId="0F7B0CDD" w14:textId="486AECAE" w:rsidR="00BF4D59" w:rsidRDefault="00BF4D59" w:rsidP="00BF4D59">
      <w:pPr>
        <w:tabs>
          <w:tab w:val="right" w:pos="1440"/>
          <w:tab w:val="left" w:pos="1710"/>
        </w:tabs>
        <w:spacing w:after="0" w:line="240" w:lineRule="auto"/>
        <w:ind w:left="1710" w:hanging="171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>Designer</w:t>
      </w:r>
      <w:r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ab/>
      </w:r>
      <w:r w:rsidR="00760D92" w:rsidRPr="00760D92">
        <w:rPr>
          <w:rFonts w:ascii="Arial" w:hAnsi="Arial" w:cs="Arial"/>
          <w:sz w:val="20"/>
          <w:szCs w:val="20"/>
        </w:rPr>
        <w:t>Steven Crosby, MA, BSP</w:t>
      </w:r>
      <w:r>
        <w:rPr>
          <w:rFonts w:ascii="Arial" w:hAnsi="Arial" w:cs="Arial"/>
          <w:sz w:val="20"/>
          <w:szCs w:val="20"/>
        </w:rPr>
        <w:t>,</w:t>
      </w:r>
      <w:r w:rsidRPr="00B94118">
        <w:rPr>
          <w:rFonts w:ascii="Arial" w:hAnsi="Arial" w:cs="Arial"/>
          <w:sz w:val="20"/>
          <w:szCs w:val="20"/>
        </w:rPr>
        <w:t xml:space="preserve"> </w:t>
      </w:r>
      <w:r w:rsidR="00760D92" w:rsidRPr="00760D92">
        <w:rPr>
          <w:rFonts w:ascii="Arial" w:hAnsi="Arial" w:cs="Arial"/>
          <w:sz w:val="20"/>
          <w:szCs w:val="20"/>
        </w:rPr>
        <w:t>Assistant Dean, Associate Professor of Pharmacy Practice</w:t>
      </w:r>
      <w:r w:rsidR="00760D92">
        <w:rPr>
          <w:rFonts w:ascii="Arial" w:hAnsi="Arial" w:cs="Arial"/>
          <w:sz w:val="20"/>
          <w:szCs w:val="20"/>
        </w:rPr>
        <w:t xml:space="preserve">, MCPHS University, </w:t>
      </w:r>
      <w:r w:rsidRPr="00B94118">
        <w:rPr>
          <w:rFonts w:ascii="Arial" w:eastAsia="Calibri" w:hAnsi="Arial" w:cs="Arial"/>
          <w:sz w:val="20"/>
          <w:szCs w:val="20"/>
        </w:rPr>
        <w:t xml:space="preserve">who developed the continuing education portion of this activity (target audience, goals and objectives and questions with solutions), </w:t>
      </w:r>
      <w:r w:rsidR="00760D92">
        <w:rPr>
          <w:rFonts w:ascii="Arial" w:eastAsia="Calibri" w:hAnsi="Arial" w:cs="Arial"/>
          <w:sz w:val="20"/>
          <w:szCs w:val="20"/>
        </w:rPr>
        <w:t>has nothing to disclose related</w:t>
      </w:r>
      <w:r>
        <w:rPr>
          <w:rFonts w:ascii="Arial" w:eastAsia="Calibri" w:hAnsi="Arial" w:cs="Arial"/>
          <w:sz w:val="20"/>
          <w:szCs w:val="20"/>
        </w:rPr>
        <w:t xml:space="preserve"> to this educational topic.</w:t>
      </w:r>
    </w:p>
    <w:p w14:paraId="7EA92AD6" w14:textId="793CE989" w:rsidR="00BF4D59" w:rsidRDefault="00BF4D59" w:rsidP="00BF4D59">
      <w:pPr>
        <w:tabs>
          <w:tab w:val="right" w:pos="1440"/>
          <w:tab w:val="left" w:pos="1710"/>
        </w:tabs>
        <w:spacing w:after="0" w:line="240" w:lineRule="auto"/>
        <w:ind w:left="1710" w:hanging="171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7050">
        <w:rPr>
          <w:rFonts w:ascii="Arial" w:hAnsi="Arial" w:cs="Arial"/>
          <w:sz w:val="20"/>
          <w:szCs w:val="20"/>
          <w:u w:val="single"/>
        </w:rPr>
        <w:t>Reviewer</w:t>
      </w:r>
      <w:r w:rsidRPr="00B941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60D92" w:rsidRPr="00760D92">
        <w:rPr>
          <w:rFonts w:ascii="Arial" w:hAnsi="Arial" w:cs="Arial"/>
          <w:sz w:val="20"/>
          <w:szCs w:val="20"/>
        </w:rPr>
        <w:t>Michael Jann</w:t>
      </w:r>
      <w:r w:rsidR="00760D92">
        <w:rPr>
          <w:rFonts w:ascii="Arial" w:hAnsi="Arial" w:cs="Arial"/>
          <w:sz w:val="20"/>
          <w:szCs w:val="20"/>
        </w:rPr>
        <w:t>, PharmD</w:t>
      </w:r>
      <w:r w:rsidRPr="00B94118">
        <w:rPr>
          <w:rFonts w:ascii="Arial" w:hAnsi="Arial" w:cs="Arial"/>
          <w:sz w:val="20"/>
          <w:szCs w:val="20"/>
        </w:rPr>
        <w:t>,</w:t>
      </w:r>
      <w:r w:rsidR="00760D92">
        <w:rPr>
          <w:rFonts w:ascii="Arial" w:hAnsi="Arial" w:cs="Arial"/>
          <w:sz w:val="20"/>
          <w:szCs w:val="20"/>
        </w:rPr>
        <w:t xml:space="preserve"> Professor, Pharmacotherapy, </w:t>
      </w:r>
      <w:proofErr w:type="spellStart"/>
      <w:r w:rsidR="00760D92" w:rsidRPr="00760D92">
        <w:rPr>
          <w:rFonts w:ascii="Arial" w:hAnsi="Arial" w:cs="Arial"/>
          <w:sz w:val="20"/>
          <w:szCs w:val="20"/>
        </w:rPr>
        <w:t>Univ</w:t>
      </w:r>
      <w:proofErr w:type="spellEnd"/>
      <w:r w:rsidR="00760D92" w:rsidRPr="00760D92">
        <w:rPr>
          <w:rFonts w:ascii="Arial" w:hAnsi="Arial" w:cs="Arial"/>
          <w:sz w:val="20"/>
          <w:szCs w:val="20"/>
        </w:rPr>
        <w:t xml:space="preserve"> of North Texas System Coll of Pharmacy</w:t>
      </w:r>
      <w:r w:rsidR="00760D92">
        <w:rPr>
          <w:rFonts w:ascii="Arial" w:hAnsi="Arial" w:cs="Arial"/>
          <w:sz w:val="20"/>
          <w:szCs w:val="20"/>
        </w:rPr>
        <w:t xml:space="preserve">, </w:t>
      </w:r>
      <w:r w:rsidRPr="00B94118">
        <w:rPr>
          <w:rFonts w:ascii="Arial" w:eastAsia="Calibri" w:hAnsi="Arial" w:cs="Arial"/>
          <w:sz w:val="20"/>
          <w:szCs w:val="20"/>
        </w:rPr>
        <w:t>has nothing to disclose</w:t>
      </w:r>
      <w:r w:rsidR="00760D92">
        <w:rPr>
          <w:rFonts w:ascii="Arial" w:eastAsia="Calibri" w:hAnsi="Arial" w:cs="Arial"/>
          <w:sz w:val="20"/>
          <w:szCs w:val="20"/>
        </w:rPr>
        <w:t xml:space="preserve"> related to this educational topic.</w:t>
      </w:r>
    </w:p>
    <w:p w14:paraId="240524B9" w14:textId="77777777" w:rsidR="00B94118" w:rsidRPr="00B94118" w:rsidRDefault="00B94118" w:rsidP="00B9411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7F262A" w14:textId="77777777" w:rsidR="00BF67FD" w:rsidRDefault="00BF67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0AC">
        <w:rPr>
          <w:rFonts w:ascii="Arial" w:hAnsi="Arial" w:cs="Arial"/>
          <w:b/>
          <w:sz w:val="20"/>
          <w:szCs w:val="20"/>
        </w:rPr>
        <w:t>Target Audience</w:t>
      </w:r>
    </w:p>
    <w:p w14:paraId="5CE7AEBD" w14:textId="7354DD88" w:rsidR="008F4867" w:rsidRPr="00B94118" w:rsidRDefault="00B94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118">
        <w:rPr>
          <w:rFonts w:ascii="Arial" w:hAnsi="Arial" w:cs="Arial"/>
          <w:sz w:val="20"/>
          <w:szCs w:val="20"/>
        </w:rPr>
        <w:t>The target audience for this activity includes</w:t>
      </w:r>
      <w:r w:rsidR="00760D92" w:rsidRPr="006F2D4C">
        <w:rPr>
          <w:rFonts w:cs="Arial"/>
        </w:rPr>
        <w:t xml:space="preserve"> phy</w:t>
      </w:r>
      <w:r w:rsidR="00760D92">
        <w:rPr>
          <w:rFonts w:cs="Arial"/>
        </w:rPr>
        <w:t>sicians</w:t>
      </w:r>
      <w:r w:rsidR="00760D92" w:rsidRPr="006F2D4C">
        <w:rPr>
          <w:rFonts w:cs="Arial"/>
        </w:rPr>
        <w:t>, clinical pharmacologists, pharmacists</w:t>
      </w:r>
      <w:r w:rsidR="00760D92">
        <w:rPr>
          <w:rFonts w:cs="Arial"/>
        </w:rPr>
        <w:t>, and clinical researchers. This activity offers substantial insight for both oncologists and researchers focusing on drug-drug interaction potentials.</w:t>
      </w:r>
    </w:p>
    <w:p w14:paraId="38D3104D" w14:textId="77777777" w:rsidR="00B94118" w:rsidRDefault="00B941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DA369" w14:textId="666C1ED5" w:rsidR="00CC53A2" w:rsidRDefault="00CC53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7AC">
        <w:rPr>
          <w:rFonts w:ascii="Arial" w:hAnsi="Arial" w:cs="Arial"/>
          <w:b/>
          <w:sz w:val="20"/>
          <w:szCs w:val="20"/>
        </w:rPr>
        <w:t>Goal and Objectives</w:t>
      </w:r>
    </w:p>
    <w:p w14:paraId="77474053" w14:textId="77777777" w:rsidR="008F4867" w:rsidRPr="008F4867" w:rsidRDefault="008F4867" w:rsidP="008F4867">
      <w:pPr>
        <w:rPr>
          <w:rFonts w:ascii="Arial" w:hAnsi="Arial" w:cs="Arial"/>
          <w:sz w:val="20"/>
          <w:szCs w:val="20"/>
        </w:rPr>
      </w:pPr>
      <w:r w:rsidRPr="008F4867">
        <w:rPr>
          <w:rFonts w:ascii="Arial" w:hAnsi="Arial" w:cs="Arial"/>
          <w:sz w:val="20"/>
          <w:szCs w:val="20"/>
        </w:rPr>
        <w:t xml:space="preserve">After completing this activity, the learner will be able to: </w:t>
      </w:r>
    </w:p>
    <w:p w14:paraId="5C8A7E37" w14:textId="77777777" w:rsidR="00760D92" w:rsidRDefault="00760D92" w:rsidP="00760D9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isozymes involved in the metabolic fate of </w:t>
      </w:r>
      <w:proofErr w:type="spellStart"/>
      <w:r>
        <w:rPr>
          <w:rFonts w:ascii="Arial" w:hAnsi="Arial" w:cs="Arial"/>
          <w:sz w:val="20"/>
          <w:szCs w:val="20"/>
        </w:rPr>
        <w:t>apatinib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18DE58" w14:textId="77777777" w:rsidR="00760D92" w:rsidRDefault="00760D92" w:rsidP="00760D9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pharmacokinetic implications of combining </w:t>
      </w:r>
      <w:proofErr w:type="spellStart"/>
      <w:r>
        <w:rPr>
          <w:rFonts w:ascii="Arial" w:hAnsi="Arial" w:cs="Arial"/>
          <w:sz w:val="20"/>
          <w:szCs w:val="20"/>
        </w:rPr>
        <w:t>apatinib</w:t>
      </w:r>
      <w:proofErr w:type="spellEnd"/>
      <w:r>
        <w:rPr>
          <w:rFonts w:ascii="Arial" w:hAnsi="Arial" w:cs="Arial"/>
          <w:sz w:val="20"/>
          <w:szCs w:val="20"/>
        </w:rPr>
        <w:t xml:space="preserve"> with enzyme inducers and inhibitors.</w:t>
      </w:r>
    </w:p>
    <w:p w14:paraId="7D16B20D" w14:textId="77777777" w:rsidR="00760D92" w:rsidRPr="00BD7230" w:rsidRDefault="00760D92" w:rsidP="00760D9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factors that contribute to variations in kinetic parameters secondary to a drug-drug interaction.</w:t>
      </w:r>
    </w:p>
    <w:p w14:paraId="2F14C433" w14:textId="5C4D70E4" w:rsidR="00C74AF2" w:rsidRPr="00772869" w:rsidRDefault="00772869" w:rsidP="00C74AF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72869">
        <w:rPr>
          <w:rFonts w:ascii="Arial" w:hAnsi="Arial" w:cs="Arial"/>
          <w:b/>
          <w:sz w:val="20"/>
          <w:szCs w:val="20"/>
        </w:rPr>
        <w:t>Requirements to Receive Credit</w:t>
      </w:r>
    </w:p>
    <w:p w14:paraId="77A2610A" w14:textId="6322C0F9" w:rsidR="00BD10C1" w:rsidRPr="003170AC" w:rsidRDefault="00BD10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0AC">
        <w:rPr>
          <w:rFonts w:ascii="Arial" w:hAnsi="Arial" w:cs="Arial"/>
          <w:sz w:val="20"/>
          <w:szCs w:val="20"/>
        </w:rPr>
        <w:t>In order to receive CE credit, the learner must</w:t>
      </w:r>
      <w:r w:rsidR="00772869">
        <w:rPr>
          <w:rFonts w:ascii="Arial" w:hAnsi="Arial" w:cs="Arial"/>
          <w:sz w:val="20"/>
          <w:szCs w:val="20"/>
        </w:rPr>
        <w:t xml:space="preserve"> register for the educational activity, study the provided journal article, complete the online post-event assessment (test) with a </w:t>
      </w:r>
      <w:r w:rsidRPr="003170AC">
        <w:rPr>
          <w:rFonts w:ascii="Arial" w:hAnsi="Arial" w:cs="Arial"/>
          <w:sz w:val="20"/>
          <w:szCs w:val="20"/>
        </w:rPr>
        <w:t>score</w:t>
      </w:r>
      <w:r w:rsidR="00772869">
        <w:rPr>
          <w:rFonts w:ascii="Arial" w:hAnsi="Arial" w:cs="Arial"/>
          <w:sz w:val="20"/>
          <w:szCs w:val="20"/>
        </w:rPr>
        <w:t xml:space="preserve"> or </w:t>
      </w:r>
      <w:r w:rsidRPr="003170AC">
        <w:rPr>
          <w:rFonts w:ascii="Arial" w:hAnsi="Arial" w:cs="Arial"/>
          <w:sz w:val="20"/>
          <w:szCs w:val="20"/>
        </w:rPr>
        <w:t xml:space="preserve">75% or </w:t>
      </w:r>
      <w:r w:rsidR="00772869">
        <w:rPr>
          <w:rFonts w:ascii="Arial" w:hAnsi="Arial" w:cs="Arial"/>
          <w:sz w:val="20"/>
          <w:szCs w:val="20"/>
        </w:rPr>
        <w:t xml:space="preserve">higher, </w:t>
      </w:r>
      <w:r w:rsidRPr="003170AC">
        <w:rPr>
          <w:rFonts w:ascii="Arial" w:hAnsi="Arial" w:cs="Arial"/>
          <w:sz w:val="20"/>
          <w:szCs w:val="20"/>
        </w:rPr>
        <w:t>complete an online evaluation</w:t>
      </w:r>
      <w:r w:rsidR="00F97050">
        <w:rPr>
          <w:rFonts w:ascii="Arial" w:hAnsi="Arial" w:cs="Arial"/>
          <w:sz w:val="20"/>
          <w:szCs w:val="20"/>
        </w:rPr>
        <w:t>, and print their certificate.</w:t>
      </w:r>
    </w:p>
    <w:p w14:paraId="2B71A2B0" w14:textId="3AADF781" w:rsidR="00BD10C1" w:rsidRDefault="00BD1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FCE788" w14:textId="59004D64" w:rsidR="00F97050" w:rsidRPr="00F97050" w:rsidRDefault="007728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Schedule &amp; </w:t>
      </w:r>
      <w:r w:rsidR="00F97050" w:rsidRPr="00F97050">
        <w:rPr>
          <w:rFonts w:ascii="Arial" w:hAnsi="Arial" w:cs="Arial"/>
          <w:b/>
          <w:sz w:val="20"/>
          <w:szCs w:val="20"/>
        </w:rPr>
        <w:t>Fees</w:t>
      </w:r>
    </w:p>
    <w:p w14:paraId="279E0062" w14:textId="40BD95F0" w:rsidR="00F97050" w:rsidRPr="00B04E62" w:rsidRDefault="00F97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E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JCP monthly Journal CE articles are </w:t>
      </w:r>
      <w:r w:rsidR="00772869" w:rsidRPr="00B04E62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generally released on the 2</w:t>
      </w:r>
      <w:r w:rsidR="00772869" w:rsidRPr="00B04E6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772869" w:rsidRPr="00B04E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Tuesday of each month.  They are </w:t>
      </w:r>
      <w:r w:rsidRPr="00B04E62">
        <w:rPr>
          <w:rFonts w:ascii="Arial" w:hAnsi="Arial" w:cs="Arial"/>
          <w:color w:val="000000"/>
          <w:sz w:val="20"/>
          <w:szCs w:val="20"/>
          <w:shd w:val="clear" w:color="auto" w:fill="FFFFFF"/>
        </w:rPr>
        <w:t>priced in packages of Jan - Dec for each year. Packages are available at no cost to ACCP Members and $75/calendar year to Non-members. Once you register, you have access to all of the articles for the calendar year.</w:t>
      </w:r>
    </w:p>
    <w:p w14:paraId="48E4C3DB" w14:textId="7BA5DF33" w:rsidR="00F97050" w:rsidRDefault="00F970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09A9F" w14:textId="6DD96B84" w:rsidR="00772869" w:rsidRPr="00772869" w:rsidRDefault="007728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869">
        <w:rPr>
          <w:rFonts w:ascii="Arial" w:hAnsi="Arial" w:cs="Arial"/>
          <w:b/>
          <w:sz w:val="20"/>
          <w:szCs w:val="20"/>
        </w:rPr>
        <w:t>Acknowledgement of Financial Support</w:t>
      </w:r>
    </w:p>
    <w:p w14:paraId="48FE94DF" w14:textId="65D77D0B" w:rsidR="00772869" w:rsidRDefault="00772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financial support was received for this educational activity.</w:t>
      </w:r>
    </w:p>
    <w:p w14:paraId="507FEAD5" w14:textId="77777777" w:rsidR="00772869" w:rsidRDefault="00772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3F05F" w14:textId="418F79DD" w:rsidR="00F97050" w:rsidRPr="00772869" w:rsidRDefault="007728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869">
        <w:rPr>
          <w:rFonts w:ascii="Arial" w:hAnsi="Arial" w:cs="Arial"/>
          <w:b/>
          <w:sz w:val="20"/>
          <w:szCs w:val="20"/>
        </w:rPr>
        <w:t>Home Study Initial Release and Expiration Dates</w:t>
      </w:r>
    </w:p>
    <w:p w14:paraId="417AFCB3" w14:textId="6A542DA9" w:rsidR="008975FE" w:rsidRPr="003170AC" w:rsidRDefault="008975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4D49">
        <w:rPr>
          <w:rFonts w:ascii="Arial" w:hAnsi="Arial" w:cs="Arial"/>
          <w:b/>
          <w:sz w:val="20"/>
          <w:szCs w:val="20"/>
        </w:rPr>
        <w:t>Date of Issuance:</w:t>
      </w:r>
      <w:r w:rsidRPr="003170AC">
        <w:rPr>
          <w:rFonts w:ascii="Arial" w:hAnsi="Arial" w:cs="Arial"/>
          <w:sz w:val="20"/>
          <w:szCs w:val="20"/>
        </w:rPr>
        <w:t> </w:t>
      </w:r>
      <w:r w:rsidR="00CB54FB">
        <w:rPr>
          <w:rFonts w:ascii="Arial" w:hAnsi="Arial" w:cs="Arial"/>
          <w:sz w:val="20"/>
          <w:szCs w:val="20"/>
        </w:rPr>
        <w:t xml:space="preserve"> </w:t>
      </w:r>
      <w:r w:rsidR="00E24824">
        <w:rPr>
          <w:rFonts w:ascii="Arial" w:hAnsi="Arial" w:cs="Arial"/>
          <w:sz w:val="20"/>
          <w:szCs w:val="20"/>
        </w:rPr>
        <w:t>March</w:t>
      </w:r>
      <w:r w:rsidR="00CA5A88">
        <w:rPr>
          <w:rFonts w:ascii="Arial" w:hAnsi="Arial" w:cs="Arial"/>
          <w:sz w:val="20"/>
          <w:szCs w:val="20"/>
        </w:rPr>
        <w:t xml:space="preserve"> </w:t>
      </w:r>
      <w:r w:rsidR="00CB54FB">
        <w:rPr>
          <w:rFonts w:ascii="Arial" w:hAnsi="Arial" w:cs="Arial"/>
          <w:sz w:val="20"/>
          <w:szCs w:val="20"/>
        </w:rPr>
        <w:t>1, 201</w:t>
      </w:r>
      <w:r w:rsidR="00E24824">
        <w:rPr>
          <w:rFonts w:ascii="Arial" w:hAnsi="Arial" w:cs="Arial"/>
          <w:sz w:val="20"/>
          <w:szCs w:val="20"/>
        </w:rPr>
        <w:t>8</w:t>
      </w:r>
    </w:p>
    <w:p w14:paraId="02286869" w14:textId="256EAA68" w:rsidR="001F1158" w:rsidRDefault="008975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D49">
        <w:rPr>
          <w:rFonts w:ascii="Arial" w:hAnsi="Arial" w:cs="Arial"/>
          <w:b/>
          <w:sz w:val="20"/>
          <w:szCs w:val="20"/>
        </w:rPr>
        <w:t>Expiration Date:</w:t>
      </w:r>
      <w:r w:rsidRPr="003170AC">
        <w:rPr>
          <w:rFonts w:ascii="Arial" w:hAnsi="Arial" w:cs="Arial"/>
          <w:sz w:val="20"/>
          <w:szCs w:val="20"/>
        </w:rPr>
        <w:t> </w:t>
      </w:r>
      <w:r w:rsidR="00900B53">
        <w:rPr>
          <w:rFonts w:ascii="Arial" w:hAnsi="Arial" w:cs="Arial"/>
          <w:sz w:val="20"/>
          <w:szCs w:val="20"/>
        </w:rPr>
        <w:t xml:space="preserve">  </w:t>
      </w:r>
      <w:r w:rsidR="00E24824">
        <w:rPr>
          <w:rFonts w:ascii="Arial" w:hAnsi="Arial" w:cs="Arial"/>
          <w:sz w:val="20"/>
          <w:szCs w:val="20"/>
        </w:rPr>
        <w:t>March</w:t>
      </w:r>
      <w:r w:rsidR="008F4867">
        <w:rPr>
          <w:rFonts w:ascii="Arial" w:hAnsi="Arial" w:cs="Arial"/>
          <w:sz w:val="20"/>
          <w:szCs w:val="20"/>
        </w:rPr>
        <w:t xml:space="preserve"> </w:t>
      </w:r>
      <w:r w:rsidR="00CA5A88">
        <w:rPr>
          <w:rFonts w:ascii="Arial" w:hAnsi="Arial" w:cs="Arial"/>
          <w:sz w:val="20"/>
          <w:szCs w:val="20"/>
        </w:rPr>
        <w:t>1</w:t>
      </w:r>
      <w:r w:rsidR="00CC53A2">
        <w:rPr>
          <w:rFonts w:ascii="Arial" w:hAnsi="Arial" w:cs="Arial"/>
          <w:sz w:val="20"/>
          <w:szCs w:val="20"/>
        </w:rPr>
        <w:t>,</w:t>
      </w:r>
      <w:r w:rsidR="002F0779">
        <w:rPr>
          <w:rFonts w:ascii="Arial" w:hAnsi="Arial" w:cs="Arial"/>
          <w:sz w:val="20"/>
          <w:szCs w:val="20"/>
        </w:rPr>
        <w:t xml:space="preserve"> 202</w:t>
      </w:r>
      <w:r w:rsidR="00E24824">
        <w:rPr>
          <w:rFonts w:ascii="Arial" w:hAnsi="Arial" w:cs="Arial"/>
          <w:sz w:val="20"/>
          <w:szCs w:val="20"/>
        </w:rPr>
        <w:t>1</w:t>
      </w:r>
      <w:r w:rsidR="00B37DD2" w:rsidRPr="003170AC">
        <w:rPr>
          <w:rFonts w:ascii="Arial" w:hAnsi="Arial" w:cs="Arial"/>
          <w:sz w:val="20"/>
          <w:szCs w:val="20"/>
        </w:rPr>
        <w:t xml:space="preserve"> </w:t>
      </w:r>
    </w:p>
    <w:p w14:paraId="633A360C" w14:textId="77777777" w:rsidR="001F1158" w:rsidRDefault="001F1158" w:rsidP="001F11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016DBE" w14:textId="09527061" w:rsidR="001F1158" w:rsidRDefault="001F1158" w:rsidP="001F11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8B093A9" w14:textId="35693C79" w:rsidR="001F1158" w:rsidRDefault="00B04E62" w:rsidP="001F11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Location:</w:t>
      </w:r>
    </w:p>
    <w:p w14:paraId="091D9822" w14:textId="366C944B" w:rsidR="001F1158" w:rsidRPr="005B1FD1" w:rsidRDefault="00760D92" w:rsidP="00B04E6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B04E62" w:rsidRPr="00757B51">
          <w:rPr>
            <w:rStyle w:val="Hyperlink"/>
            <w:rFonts w:ascii="Arial" w:hAnsi="Arial" w:cs="Arial"/>
            <w:sz w:val="20"/>
            <w:szCs w:val="20"/>
          </w:rPr>
          <w:t>https://accp1.org/Members/Continuing_Education/Journal_CE/ACCP1/4Continuing_Education/Journal_CE.aspx</w:t>
        </w:r>
      </w:hyperlink>
      <w:r w:rsidR="00B04E6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1F1158" w:rsidRPr="005B1FD1" w:rsidSect="0016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W01 45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09E"/>
    <w:multiLevelType w:val="hybridMultilevel"/>
    <w:tmpl w:val="7396D1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68C"/>
    <w:multiLevelType w:val="hybridMultilevel"/>
    <w:tmpl w:val="85DA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1CD"/>
    <w:multiLevelType w:val="hybridMultilevel"/>
    <w:tmpl w:val="E626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6F350BC"/>
    <w:multiLevelType w:val="hybridMultilevel"/>
    <w:tmpl w:val="093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F7B"/>
    <w:multiLevelType w:val="hybridMultilevel"/>
    <w:tmpl w:val="B38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BA9"/>
    <w:multiLevelType w:val="hybridMultilevel"/>
    <w:tmpl w:val="6760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902F5"/>
    <w:multiLevelType w:val="hybridMultilevel"/>
    <w:tmpl w:val="5D4E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8F9"/>
    <w:multiLevelType w:val="hybridMultilevel"/>
    <w:tmpl w:val="DA186F3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539E"/>
    <w:multiLevelType w:val="hybridMultilevel"/>
    <w:tmpl w:val="1AC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7978"/>
    <w:multiLevelType w:val="hybridMultilevel"/>
    <w:tmpl w:val="F6C2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441F6"/>
    <w:multiLevelType w:val="hybridMultilevel"/>
    <w:tmpl w:val="BDAC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AD"/>
    <w:rsid w:val="000069F0"/>
    <w:rsid w:val="00024469"/>
    <w:rsid w:val="00030A9E"/>
    <w:rsid w:val="00057BDB"/>
    <w:rsid w:val="00071EE9"/>
    <w:rsid w:val="000807D2"/>
    <w:rsid w:val="000A0087"/>
    <w:rsid w:val="000F372E"/>
    <w:rsid w:val="0010589E"/>
    <w:rsid w:val="00117F30"/>
    <w:rsid w:val="001257CB"/>
    <w:rsid w:val="00125ED4"/>
    <w:rsid w:val="00141945"/>
    <w:rsid w:val="00152666"/>
    <w:rsid w:val="00154B12"/>
    <w:rsid w:val="00165A75"/>
    <w:rsid w:val="00174083"/>
    <w:rsid w:val="00197B8E"/>
    <w:rsid w:val="001A17E2"/>
    <w:rsid w:val="001D1D77"/>
    <w:rsid w:val="001D20C1"/>
    <w:rsid w:val="001E077F"/>
    <w:rsid w:val="001E4458"/>
    <w:rsid w:val="001F1158"/>
    <w:rsid w:val="001F627A"/>
    <w:rsid w:val="00222594"/>
    <w:rsid w:val="00242B4B"/>
    <w:rsid w:val="00250838"/>
    <w:rsid w:val="00252E6A"/>
    <w:rsid w:val="00267421"/>
    <w:rsid w:val="0029637E"/>
    <w:rsid w:val="002A2142"/>
    <w:rsid w:val="002A7DC2"/>
    <w:rsid w:val="002B52B5"/>
    <w:rsid w:val="002B576F"/>
    <w:rsid w:val="002B76A7"/>
    <w:rsid w:val="002C4DED"/>
    <w:rsid w:val="002D1E6B"/>
    <w:rsid w:val="002E5F21"/>
    <w:rsid w:val="002F0779"/>
    <w:rsid w:val="002F201C"/>
    <w:rsid w:val="00300BCF"/>
    <w:rsid w:val="003170AC"/>
    <w:rsid w:val="00323EA1"/>
    <w:rsid w:val="00331C71"/>
    <w:rsid w:val="003748FF"/>
    <w:rsid w:val="0037511F"/>
    <w:rsid w:val="00382034"/>
    <w:rsid w:val="00393571"/>
    <w:rsid w:val="003A560D"/>
    <w:rsid w:val="003B60AB"/>
    <w:rsid w:val="003C6662"/>
    <w:rsid w:val="003F0017"/>
    <w:rsid w:val="003F3E1D"/>
    <w:rsid w:val="0041666F"/>
    <w:rsid w:val="00422BAF"/>
    <w:rsid w:val="004236DD"/>
    <w:rsid w:val="00430716"/>
    <w:rsid w:val="00430C3E"/>
    <w:rsid w:val="004361FE"/>
    <w:rsid w:val="00440E9C"/>
    <w:rsid w:val="004739D3"/>
    <w:rsid w:val="0049642D"/>
    <w:rsid w:val="0049648A"/>
    <w:rsid w:val="004E1B47"/>
    <w:rsid w:val="004E644F"/>
    <w:rsid w:val="004F7A23"/>
    <w:rsid w:val="00500BFE"/>
    <w:rsid w:val="005062CB"/>
    <w:rsid w:val="00511797"/>
    <w:rsid w:val="0052616A"/>
    <w:rsid w:val="00540165"/>
    <w:rsid w:val="00545E50"/>
    <w:rsid w:val="00555246"/>
    <w:rsid w:val="005816F3"/>
    <w:rsid w:val="0058625E"/>
    <w:rsid w:val="005A624C"/>
    <w:rsid w:val="005B1131"/>
    <w:rsid w:val="005B1FD1"/>
    <w:rsid w:val="005B4ABB"/>
    <w:rsid w:val="005B6F06"/>
    <w:rsid w:val="005E4586"/>
    <w:rsid w:val="005E538A"/>
    <w:rsid w:val="005E5D5E"/>
    <w:rsid w:val="00624F55"/>
    <w:rsid w:val="00625949"/>
    <w:rsid w:val="006259D2"/>
    <w:rsid w:val="006305AD"/>
    <w:rsid w:val="00637FC5"/>
    <w:rsid w:val="00646EA8"/>
    <w:rsid w:val="00652C6D"/>
    <w:rsid w:val="006726FA"/>
    <w:rsid w:val="00672818"/>
    <w:rsid w:val="0069485A"/>
    <w:rsid w:val="00696F23"/>
    <w:rsid w:val="00697AB3"/>
    <w:rsid w:val="006C2CB8"/>
    <w:rsid w:val="006C3E16"/>
    <w:rsid w:val="006D104A"/>
    <w:rsid w:val="006E0404"/>
    <w:rsid w:val="006F6D4D"/>
    <w:rsid w:val="00705E18"/>
    <w:rsid w:val="0071079D"/>
    <w:rsid w:val="00727453"/>
    <w:rsid w:val="00760D92"/>
    <w:rsid w:val="00772869"/>
    <w:rsid w:val="007738DC"/>
    <w:rsid w:val="007946EC"/>
    <w:rsid w:val="00794DAF"/>
    <w:rsid w:val="007A1539"/>
    <w:rsid w:val="007A5293"/>
    <w:rsid w:val="007C36BC"/>
    <w:rsid w:val="007D531D"/>
    <w:rsid w:val="007D70AC"/>
    <w:rsid w:val="007F2BFD"/>
    <w:rsid w:val="00805ECA"/>
    <w:rsid w:val="00821A2B"/>
    <w:rsid w:val="0084133D"/>
    <w:rsid w:val="00845D0F"/>
    <w:rsid w:val="008577FC"/>
    <w:rsid w:val="00875704"/>
    <w:rsid w:val="00885202"/>
    <w:rsid w:val="00893583"/>
    <w:rsid w:val="00895655"/>
    <w:rsid w:val="008975FE"/>
    <w:rsid w:val="008A7647"/>
    <w:rsid w:val="008B063F"/>
    <w:rsid w:val="008B7EFC"/>
    <w:rsid w:val="008C1288"/>
    <w:rsid w:val="008E57EE"/>
    <w:rsid w:val="008F26E8"/>
    <w:rsid w:val="008F4867"/>
    <w:rsid w:val="00900B53"/>
    <w:rsid w:val="009038F6"/>
    <w:rsid w:val="00914495"/>
    <w:rsid w:val="00914987"/>
    <w:rsid w:val="00926DFD"/>
    <w:rsid w:val="00952AB1"/>
    <w:rsid w:val="00952CD6"/>
    <w:rsid w:val="0097607B"/>
    <w:rsid w:val="00977AB7"/>
    <w:rsid w:val="009971DC"/>
    <w:rsid w:val="009A31D7"/>
    <w:rsid w:val="009B48B5"/>
    <w:rsid w:val="009D0644"/>
    <w:rsid w:val="009D5EC7"/>
    <w:rsid w:val="009D6237"/>
    <w:rsid w:val="009D6B28"/>
    <w:rsid w:val="009E1CB9"/>
    <w:rsid w:val="009F66C5"/>
    <w:rsid w:val="00A05AE0"/>
    <w:rsid w:val="00A335D5"/>
    <w:rsid w:val="00A3539A"/>
    <w:rsid w:val="00A36C6D"/>
    <w:rsid w:val="00A40D33"/>
    <w:rsid w:val="00A50654"/>
    <w:rsid w:val="00AA093B"/>
    <w:rsid w:val="00AA349E"/>
    <w:rsid w:val="00AA5917"/>
    <w:rsid w:val="00AD7499"/>
    <w:rsid w:val="00AE3DE5"/>
    <w:rsid w:val="00AE7C90"/>
    <w:rsid w:val="00AF739C"/>
    <w:rsid w:val="00B02C58"/>
    <w:rsid w:val="00B04E62"/>
    <w:rsid w:val="00B056B4"/>
    <w:rsid w:val="00B06F25"/>
    <w:rsid w:val="00B2088D"/>
    <w:rsid w:val="00B22773"/>
    <w:rsid w:val="00B33FA9"/>
    <w:rsid w:val="00B37DD2"/>
    <w:rsid w:val="00B42230"/>
    <w:rsid w:val="00B54468"/>
    <w:rsid w:val="00B75F90"/>
    <w:rsid w:val="00B94118"/>
    <w:rsid w:val="00B9490C"/>
    <w:rsid w:val="00B96F9D"/>
    <w:rsid w:val="00BC1FCA"/>
    <w:rsid w:val="00BC2471"/>
    <w:rsid w:val="00BC3F32"/>
    <w:rsid w:val="00BD10C1"/>
    <w:rsid w:val="00BD52CE"/>
    <w:rsid w:val="00BE27D7"/>
    <w:rsid w:val="00BE2F1C"/>
    <w:rsid w:val="00BE54EA"/>
    <w:rsid w:val="00BF1E2D"/>
    <w:rsid w:val="00BF4D59"/>
    <w:rsid w:val="00BF67FD"/>
    <w:rsid w:val="00C03A16"/>
    <w:rsid w:val="00C11539"/>
    <w:rsid w:val="00C25667"/>
    <w:rsid w:val="00C27EEF"/>
    <w:rsid w:val="00C3157A"/>
    <w:rsid w:val="00C3372A"/>
    <w:rsid w:val="00C364D2"/>
    <w:rsid w:val="00C61B27"/>
    <w:rsid w:val="00C74AF2"/>
    <w:rsid w:val="00C93411"/>
    <w:rsid w:val="00CA4755"/>
    <w:rsid w:val="00CA5A88"/>
    <w:rsid w:val="00CA6B18"/>
    <w:rsid w:val="00CB54FB"/>
    <w:rsid w:val="00CB5A5F"/>
    <w:rsid w:val="00CC4BED"/>
    <w:rsid w:val="00CC53A2"/>
    <w:rsid w:val="00CD11C5"/>
    <w:rsid w:val="00CD5D50"/>
    <w:rsid w:val="00CF34E0"/>
    <w:rsid w:val="00CF6BB3"/>
    <w:rsid w:val="00D100B7"/>
    <w:rsid w:val="00D16AAF"/>
    <w:rsid w:val="00D22349"/>
    <w:rsid w:val="00D51D3C"/>
    <w:rsid w:val="00D70A90"/>
    <w:rsid w:val="00D83AC2"/>
    <w:rsid w:val="00D875B7"/>
    <w:rsid w:val="00DC396D"/>
    <w:rsid w:val="00DD22D5"/>
    <w:rsid w:val="00DD2BF1"/>
    <w:rsid w:val="00DE331F"/>
    <w:rsid w:val="00DE62A5"/>
    <w:rsid w:val="00DF73B6"/>
    <w:rsid w:val="00E114D1"/>
    <w:rsid w:val="00E20D21"/>
    <w:rsid w:val="00E23473"/>
    <w:rsid w:val="00E243E6"/>
    <w:rsid w:val="00E24824"/>
    <w:rsid w:val="00E35AF4"/>
    <w:rsid w:val="00E44DE1"/>
    <w:rsid w:val="00E50443"/>
    <w:rsid w:val="00E71914"/>
    <w:rsid w:val="00E85F1E"/>
    <w:rsid w:val="00EA4D49"/>
    <w:rsid w:val="00EB1EA7"/>
    <w:rsid w:val="00EB3C6A"/>
    <w:rsid w:val="00EC7036"/>
    <w:rsid w:val="00ED41E8"/>
    <w:rsid w:val="00EE0593"/>
    <w:rsid w:val="00EE1619"/>
    <w:rsid w:val="00EE204E"/>
    <w:rsid w:val="00EE51B0"/>
    <w:rsid w:val="00EF36CB"/>
    <w:rsid w:val="00F03705"/>
    <w:rsid w:val="00F25349"/>
    <w:rsid w:val="00F34ECA"/>
    <w:rsid w:val="00F36BB1"/>
    <w:rsid w:val="00F404B6"/>
    <w:rsid w:val="00F43C84"/>
    <w:rsid w:val="00F505D2"/>
    <w:rsid w:val="00F61464"/>
    <w:rsid w:val="00F641BC"/>
    <w:rsid w:val="00F67B6E"/>
    <w:rsid w:val="00F67CFA"/>
    <w:rsid w:val="00F72858"/>
    <w:rsid w:val="00F80485"/>
    <w:rsid w:val="00F851C7"/>
    <w:rsid w:val="00F92CFF"/>
    <w:rsid w:val="00F97050"/>
    <w:rsid w:val="00F979CC"/>
    <w:rsid w:val="00FA7B0F"/>
    <w:rsid w:val="00FB2C23"/>
    <w:rsid w:val="00FB544B"/>
    <w:rsid w:val="00FC23BB"/>
    <w:rsid w:val="00FC3F0F"/>
    <w:rsid w:val="00FC74BD"/>
    <w:rsid w:val="00FD0B69"/>
    <w:rsid w:val="00FD4062"/>
    <w:rsid w:val="00FD7FAE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D053"/>
  <w15:docId w15:val="{CCA756AC-9D2B-47CD-9155-A69B1AE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0D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-text">
    <w:name w:val="body-text"/>
    <w:basedOn w:val="DefaultParagraphFont"/>
    <w:rsid w:val="006305AD"/>
    <w:rPr>
      <w:rFonts w:ascii="Avenir LT W01 45 Book" w:hAnsi="Avenir LT W01 45 Book" w:hint="default"/>
      <w:color w:val="464646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3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0D3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A40D3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D3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D33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D10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2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1158"/>
    <w:rPr>
      <w:i/>
      <w:iCs/>
    </w:rPr>
  </w:style>
  <w:style w:type="paragraph" w:styleId="NoSpacing">
    <w:name w:val="No Spacing"/>
    <w:uiPriority w:val="1"/>
    <w:qFormat/>
    <w:rsid w:val="00CC53A2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B1F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C24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p1.org/Members/Continuing_Education/Journal_CE/ACCP1/4Continuing_Education/Journal_C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image" Target="https://origin.ih.constantcontact.com/fs166/1104628606996/img/24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</dc:creator>
  <cp:lastModifiedBy>Linna Walz</cp:lastModifiedBy>
  <cp:revision>2</cp:revision>
  <cp:lastPrinted>2014-07-01T15:34:00Z</cp:lastPrinted>
  <dcterms:created xsi:type="dcterms:W3CDTF">2018-02-07T03:47:00Z</dcterms:created>
  <dcterms:modified xsi:type="dcterms:W3CDTF">2018-02-07T03:47:00Z</dcterms:modified>
</cp:coreProperties>
</file>